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EB" w:rsidRPr="00D65D57" w:rsidRDefault="002C16EB" w:rsidP="00CC17AF">
      <w:pPr>
        <w:spacing w:after="0" w:line="360" w:lineRule="auto"/>
        <w:jc w:val="center"/>
        <w:rPr>
          <w:rFonts w:ascii="Verdana" w:hAnsi="Verdana" w:cs="Calibri"/>
          <w:b/>
          <w:color w:val="000000"/>
          <w:u w:val="single"/>
          <w:lang w:val="en-US"/>
        </w:rPr>
      </w:pPr>
      <w:r w:rsidRPr="00D65D57">
        <w:rPr>
          <w:rFonts w:ascii="Verdana" w:hAnsi="Verdana" w:cs="Calibri"/>
          <w:b/>
          <w:color w:val="000000"/>
          <w:u w:val="single"/>
          <w:lang w:val="en-US"/>
        </w:rPr>
        <w:t xml:space="preserve">ACTION PLAN FOR </w:t>
      </w:r>
      <w:r w:rsidR="00CC17AF" w:rsidRPr="00D65D57">
        <w:rPr>
          <w:rFonts w:ascii="Verdana" w:hAnsi="Verdana" w:cs="Calibri"/>
          <w:b/>
          <w:color w:val="000000"/>
          <w:u w:val="single"/>
          <w:lang w:val="en-US"/>
        </w:rPr>
        <w:t>THE</w:t>
      </w:r>
      <w:r w:rsidRPr="00D65D57">
        <w:rPr>
          <w:rFonts w:ascii="Verdana" w:hAnsi="Verdana" w:cs="Calibri"/>
          <w:b/>
          <w:color w:val="000000"/>
          <w:u w:val="single"/>
          <w:lang w:val="en-US"/>
        </w:rPr>
        <w:t xml:space="preserve"> IMPLEMENTATION</w:t>
      </w:r>
      <w:r w:rsidR="00CC17AF" w:rsidRPr="00D65D57">
        <w:rPr>
          <w:rFonts w:ascii="Verdana" w:hAnsi="Verdana" w:cs="Calibri"/>
          <w:b/>
          <w:color w:val="000000"/>
          <w:u w:val="single"/>
          <w:lang w:val="en-US"/>
        </w:rPr>
        <w:t xml:space="preserve"> OF FREEDOM OF INFORMATION LAWS</w:t>
      </w:r>
      <w:r w:rsidRPr="00D65D57">
        <w:rPr>
          <w:rFonts w:ascii="Verdana" w:hAnsi="Verdana" w:cs="Calibri"/>
          <w:b/>
          <w:color w:val="000000"/>
          <w:u w:val="single"/>
          <w:lang w:val="en-US"/>
        </w:rPr>
        <w:t xml:space="preserve"> IN THE CARIBBEAN</w:t>
      </w:r>
    </w:p>
    <w:p w:rsidR="00D65D57" w:rsidRPr="00D65D57" w:rsidRDefault="00D65D57" w:rsidP="00CC17AF">
      <w:pPr>
        <w:spacing w:after="0" w:line="360" w:lineRule="auto"/>
        <w:jc w:val="both"/>
        <w:rPr>
          <w:rFonts w:ascii="Verdana" w:hAnsi="Verdana" w:cs="Calibri"/>
          <w:color w:val="000000"/>
          <w:sz w:val="16"/>
          <w:szCs w:val="16"/>
          <w:lang w:val="en-US"/>
        </w:rPr>
      </w:pPr>
    </w:p>
    <w:p w:rsidR="00CC17AF" w:rsidRDefault="00CC17AF" w:rsidP="00CC17AF">
      <w:pPr>
        <w:spacing w:after="0" w:line="360" w:lineRule="auto"/>
        <w:jc w:val="both"/>
        <w:rPr>
          <w:rFonts w:ascii="Verdana" w:hAnsi="Verdana" w:cs="Calibri"/>
          <w:color w:val="000000"/>
          <w:sz w:val="19"/>
          <w:szCs w:val="19"/>
          <w:lang w:val="en-US"/>
        </w:rPr>
      </w:pPr>
      <w:r>
        <w:rPr>
          <w:rFonts w:ascii="Verdana" w:hAnsi="Verdana" w:cs="Calibri"/>
          <w:color w:val="000000"/>
          <w:sz w:val="19"/>
          <w:szCs w:val="19"/>
          <w:lang w:val="en-US"/>
        </w:rPr>
        <w:t>An i</w:t>
      </w:r>
      <w:r w:rsidR="002C16EB" w:rsidRPr="00CC17AF">
        <w:rPr>
          <w:rFonts w:ascii="Verdana" w:hAnsi="Verdana" w:cs="Calibri"/>
          <w:color w:val="000000"/>
          <w:sz w:val="19"/>
          <w:szCs w:val="19"/>
          <w:lang w:val="en-US"/>
        </w:rPr>
        <w:t>mportant outcome of the</w:t>
      </w:r>
      <w:r>
        <w:rPr>
          <w:rFonts w:ascii="Verdana" w:hAnsi="Verdana" w:cs="Calibri"/>
          <w:color w:val="000000"/>
          <w:sz w:val="19"/>
          <w:szCs w:val="19"/>
          <w:lang w:val="en-US"/>
        </w:rPr>
        <w:t xml:space="preserve"> </w:t>
      </w:r>
      <w:r w:rsidRPr="00327AED">
        <w:rPr>
          <w:rFonts w:ascii="Verdana" w:hAnsi="Verdana" w:cs="Calibri"/>
          <w:b/>
          <w:color w:val="000000"/>
          <w:sz w:val="19"/>
          <w:szCs w:val="19"/>
          <w:lang w:val="en-US"/>
        </w:rPr>
        <w:t>2013 Regional Conference on Freedom of Information in the Commonwealth Caribbean</w:t>
      </w:r>
      <w:r>
        <w:rPr>
          <w:rFonts w:ascii="Verdana" w:hAnsi="Verdana" w:cs="Calibri"/>
          <w:color w:val="000000"/>
          <w:sz w:val="19"/>
          <w:szCs w:val="19"/>
          <w:lang w:val="en-US"/>
        </w:rPr>
        <w:t xml:space="preserve"> was the</w:t>
      </w:r>
      <w:r w:rsidR="002C16EB" w:rsidRPr="00CC17AF">
        <w:rPr>
          <w:rFonts w:ascii="Verdana" w:hAnsi="Verdana" w:cs="Calibri"/>
          <w:color w:val="000000"/>
          <w:sz w:val="19"/>
          <w:szCs w:val="19"/>
          <w:lang w:val="en-US"/>
        </w:rPr>
        <w:t xml:space="preserve"> creation of an </w:t>
      </w:r>
      <w:r w:rsidR="002C16EB" w:rsidRPr="00CC17AF">
        <w:rPr>
          <w:rFonts w:ascii="Verdana" w:hAnsi="Verdana" w:cs="Calibri"/>
          <w:b/>
          <w:color w:val="000000"/>
          <w:sz w:val="19"/>
          <w:szCs w:val="19"/>
          <w:lang w:val="en-US"/>
        </w:rPr>
        <w:t>Action Plan</w:t>
      </w:r>
      <w:r w:rsidR="002C16EB" w:rsidRPr="00CC17AF">
        <w:rPr>
          <w:rFonts w:ascii="Verdana" w:hAnsi="Verdana" w:cs="Calibri"/>
          <w:color w:val="000000"/>
          <w:sz w:val="19"/>
          <w:szCs w:val="19"/>
          <w:lang w:val="en-US"/>
        </w:rPr>
        <w:t xml:space="preserve"> </w:t>
      </w:r>
      <w:r>
        <w:rPr>
          <w:rFonts w:ascii="Verdana" w:hAnsi="Verdana" w:cs="Calibri"/>
          <w:color w:val="000000"/>
          <w:sz w:val="19"/>
          <w:szCs w:val="19"/>
          <w:lang w:val="en-US"/>
        </w:rPr>
        <w:t xml:space="preserve">which prioritized actions to improve </w:t>
      </w:r>
      <w:proofErr w:type="spellStart"/>
      <w:r>
        <w:rPr>
          <w:rFonts w:ascii="Verdana" w:hAnsi="Verdana" w:cs="Calibri"/>
          <w:color w:val="000000"/>
          <w:sz w:val="19"/>
          <w:szCs w:val="19"/>
          <w:lang w:val="en-US"/>
        </w:rPr>
        <w:t>FOI</w:t>
      </w:r>
      <w:proofErr w:type="spellEnd"/>
      <w:r>
        <w:rPr>
          <w:rFonts w:ascii="Verdana" w:hAnsi="Verdana" w:cs="Calibri"/>
          <w:color w:val="000000"/>
          <w:sz w:val="19"/>
          <w:szCs w:val="19"/>
          <w:lang w:val="en-US"/>
        </w:rPr>
        <w:t xml:space="preserve"> in 11 Caribbean countries: </w:t>
      </w:r>
      <w:r w:rsidR="002C16EB" w:rsidRPr="00CC17AF">
        <w:rPr>
          <w:rFonts w:ascii="Verdana" w:hAnsi="Verdana" w:cs="Calibri"/>
          <w:color w:val="000000"/>
          <w:sz w:val="19"/>
          <w:szCs w:val="19"/>
          <w:lang w:val="en-US"/>
        </w:rPr>
        <w:t xml:space="preserve"> </w:t>
      </w:r>
      <w:r w:rsidRPr="002C16EB">
        <w:rPr>
          <w:rFonts w:ascii="Verdana" w:eastAsia="Times New Roman" w:hAnsi="Verdana" w:cs="Times New Roman"/>
          <w:sz w:val="19"/>
          <w:szCs w:val="19"/>
          <w:lang w:val="en-US"/>
        </w:rPr>
        <w:t xml:space="preserve">Antigua and Barbuda, Bahamas, Belize, Cayman Islands, Grenada, Guyana, Jamaica, St. Lucia, St. Kitts and Nevis, St. Vincent and the Grenadines, </w:t>
      </w:r>
      <w:r>
        <w:rPr>
          <w:rFonts w:ascii="Verdana" w:eastAsia="Times New Roman" w:hAnsi="Verdana" w:cs="Times New Roman"/>
          <w:sz w:val="19"/>
          <w:szCs w:val="19"/>
          <w:lang w:val="en-US"/>
        </w:rPr>
        <w:t xml:space="preserve">and </w:t>
      </w:r>
      <w:r w:rsidRPr="002C16EB">
        <w:rPr>
          <w:rFonts w:ascii="Verdana" w:eastAsia="Times New Roman" w:hAnsi="Verdana" w:cs="Times New Roman"/>
          <w:sz w:val="19"/>
          <w:szCs w:val="19"/>
          <w:lang w:val="en-US"/>
        </w:rPr>
        <w:t xml:space="preserve">Trinidad and Tobago. Each of these countries </w:t>
      </w:r>
      <w:proofErr w:type="gramStart"/>
      <w:r w:rsidRPr="002C16EB">
        <w:rPr>
          <w:rFonts w:ascii="Verdana" w:eastAsia="Times New Roman" w:hAnsi="Verdana" w:cs="Times New Roman"/>
          <w:sz w:val="19"/>
          <w:szCs w:val="19"/>
          <w:lang w:val="en-US"/>
        </w:rPr>
        <w:t>are</w:t>
      </w:r>
      <w:proofErr w:type="gramEnd"/>
      <w:r w:rsidRPr="002C16EB">
        <w:rPr>
          <w:rFonts w:ascii="Verdana" w:eastAsia="Times New Roman" w:hAnsi="Verdana" w:cs="Times New Roman"/>
          <w:sz w:val="19"/>
          <w:szCs w:val="19"/>
          <w:lang w:val="en-US"/>
        </w:rPr>
        <w:t xml:space="preserve"> in varying stages of </w:t>
      </w:r>
      <w:proofErr w:type="spellStart"/>
      <w:r w:rsidRPr="002C16EB">
        <w:rPr>
          <w:rFonts w:ascii="Verdana" w:eastAsia="Times New Roman" w:hAnsi="Verdana" w:cs="Times New Roman"/>
          <w:sz w:val="19"/>
          <w:szCs w:val="19"/>
          <w:lang w:val="en-US"/>
        </w:rPr>
        <w:t>FOI</w:t>
      </w:r>
      <w:proofErr w:type="spellEnd"/>
      <w:r w:rsidRPr="002C16EB">
        <w:rPr>
          <w:rFonts w:ascii="Verdana" w:eastAsia="Times New Roman" w:hAnsi="Verdana" w:cs="Times New Roman"/>
          <w:sz w:val="19"/>
          <w:szCs w:val="19"/>
          <w:lang w:val="en-US"/>
        </w:rPr>
        <w:t xml:space="preserve"> implementation </w:t>
      </w:r>
      <w:r w:rsidR="002C16EB" w:rsidRPr="00CC17AF">
        <w:rPr>
          <w:rFonts w:ascii="Verdana" w:hAnsi="Verdana" w:cs="Calibri"/>
          <w:color w:val="000000"/>
          <w:sz w:val="19"/>
          <w:szCs w:val="19"/>
          <w:lang w:val="en-US"/>
        </w:rPr>
        <w:t>region</w:t>
      </w:r>
      <w:r>
        <w:rPr>
          <w:rFonts w:ascii="Verdana" w:hAnsi="Verdana" w:cs="Calibri"/>
          <w:color w:val="000000"/>
          <w:sz w:val="19"/>
          <w:szCs w:val="19"/>
          <w:lang w:val="en-US"/>
        </w:rPr>
        <w:t xml:space="preserve">. </w:t>
      </w:r>
      <w:r w:rsidR="002C16EB" w:rsidRPr="00CC17AF">
        <w:rPr>
          <w:rFonts w:ascii="Verdana" w:hAnsi="Verdana" w:cs="Calibri"/>
          <w:color w:val="000000"/>
          <w:sz w:val="19"/>
          <w:szCs w:val="19"/>
          <w:lang w:val="en-US"/>
        </w:rPr>
        <w:t xml:space="preserve"> </w:t>
      </w:r>
      <w:r>
        <w:rPr>
          <w:rFonts w:ascii="Verdana" w:hAnsi="Verdana" w:cs="Calibri"/>
          <w:color w:val="000000"/>
          <w:sz w:val="19"/>
          <w:szCs w:val="19"/>
          <w:lang w:val="en-US"/>
        </w:rPr>
        <w:t xml:space="preserve">It is anticipated that participants in the countries can refer to these priority actions and work towards improving the status of </w:t>
      </w:r>
      <w:proofErr w:type="spellStart"/>
      <w:r>
        <w:rPr>
          <w:rFonts w:ascii="Verdana" w:hAnsi="Verdana" w:cs="Calibri"/>
          <w:color w:val="000000"/>
          <w:sz w:val="19"/>
          <w:szCs w:val="19"/>
          <w:lang w:val="en-US"/>
        </w:rPr>
        <w:t>FOI</w:t>
      </w:r>
      <w:proofErr w:type="spellEnd"/>
      <w:r>
        <w:rPr>
          <w:rFonts w:ascii="Verdana" w:hAnsi="Verdana" w:cs="Calibri"/>
          <w:color w:val="000000"/>
          <w:sz w:val="19"/>
          <w:szCs w:val="19"/>
          <w:lang w:val="en-US"/>
        </w:rPr>
        <w:t xml:space="preserve"> implementation in their own countries.</w:t>
      </w:r>
    </w:p>
    <w:p w:rsidR="00CC17AF" w:rsidRPr="00D65D57" w:rsidRDefault="00CC17AF" w:rsidP="00CC17AF">
      <w:pPr>
        <w:spacing w:after="0" w:line="360" w:lineRule="auto"/>
        <w:jc w:val="both"/>
        <w:rPr>
          <w:rFonts w:ascii="Verdana" w:hAnsi="Verdana" w:cs="Calibri"/>
          <w:color w:val="000000"/>
          <w:sz w:val="16"/>
          <w:szCs w:val="16"/>
          <w:lang w:val="en-US"/>
        </w:rPr>
      </w:pPr>
    </w:p>
    <w:tbl>
      <w:tblPr>
        <w:tblW w:w="1355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3344"/>
        <w:gridCol w:w="1350"/>
        <w:gridCol w:w="3150"/>
        <w:gridCol w:w="4286"/>
      </w:tblGrid>
      <w:tr w:rsidR="00CC17AF" w:rsidRPr="002C16EB" w:rsidTr="00665C57">
        <w:tc>
          <w:tcPr>
            <w:tcW w:w="13556" w:type="dxa"/>
            <w:gridSpan w:val="5"/>
            <w:shd w:val="clear" w:color="auto" w:fill="92D050"/>
            <w:vAlign w:val="bottom"/>
          </w:tcPr>
          <w:p w:rsidR="00CC17AF" w:rsidRPr="00274D00" w:rsidRDefault="00CC17AF" w:rsidP="002C16E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lang w:val="en-US"/>
              </w:rPr>
            </w:pPr>
            <w:r w:rsidRPr="00274D00">
              <w:rPr>
                <w:rFonts w:ascii="Verdana" w:eastAsia="Times New Roman" w:hAnsi="Verdana" w:cs="Times New Roman"/>
                <w:b/>
                <w:lang w:val="en-US"/>
              </w:rPr>
              <w:t xml:space="preserve">STAGE 1: NO </w:t>
            </w:r>
            <w:proofErr w:type="spellStart"/>
            <w:r w:rsidRPr="00274D00">
              <w:rPr>
                <w:rFonts w:ascii="Verdana" w:eastAsia="Times New Roman" w:hAnsi="Verdana" w:cs="Times New Roman"/>
                <w:b/>
                <w:lang w:val="en-US"/>
              </w:rPr>
              <w:t>FOI</w:t>
            </w:r>
            <w:proofErr w:type="spellEnd"/>
            <w:r w:rsidRPr="00274D00">
              <w:rPr>
                <w:rFonts w:ascii="Verdana" w:eastAsia="Times New Roman" w:hAnsi="Verdana" w:cs="Times New Roman"/>
                <w:b/>
                <w:lang w:val="en-US"/>
              </w:rPr>
              <w:t xml:space="preserve"> LEGISLATION</w:t>
            </w:r>
          </w:p>
        </w:tc>
      </w:tr>
      <w:tr w:rsidR="00274D00" w:rsidRPr="002C16EB" w:rsidTr="00D65D57">
        <w:tc>
          <w:tcPr>
            <w:tcW w:w="1426" w:type="dxa"/>
            <w:shd w:val="clear" w:color="auto" w:fill="FFC000"/>
            <w:vAlign w:val="bottom"/>
          </w:tcPr>
          <w:p w:rsidR="00CC17AF" w:rsidRPr="002C16EB" w:rsidRDefault="00CC17AF" w:rsidP="002C16E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2C16EB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Country</w:t>
            </w:r>
          </w:p>
        </w:tc>
        <w:tc>
          <w:tcPr>
            <w:tcW w:w="3344" w:type="dxa"/>
            <w:shd w:val="clear" w:color="auto" w:fill="FFC000"/>
            <w:vAlign w:val="bottom"/>
          </w:tcPr>
          <w:p w:rsidR="00CC17AF" w:rsidRPr="002C16EB" w:rsidRDefault="00CC17AF" w:rsidP="00CC17AF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2C16EB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State of implementation</w:t>
            </w:r>
          </w:p>
        </w:tc>
        <w:tc>
          <w:tcPr>
            <w:tcW w:w="4500" w:type="dxa"/>
            <w:gridSpan w:val="2"/>
            <w:shd w:val="clear" w:color="auto" w:fill="FFC000"/>
            <w:vAlign w:val="bottom"/>
          </w:tcPr>
          <w:p w:rsidR="00CC17AF" w:rsidRPr="002C16EB" w:rsidRDefault="00CC17AF" w:rsidP="002C16E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2C16EB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Priority actions</w:t>
            </w:r>
          </w:p>
        </w:tc>
        <w:tc>
          <w:tcPr>
            <w:tcW w:w="4286" w:type="dxa"/>
            <w:shd w:val="clear" w:color="auto" w:fill="FFC000"/>
            <w:vAlign w:val="bottom"/>
          </w:tcPr>
          <w:p w:rsidR="00CC17AF" w:rsidRPr="002C16EB" w:rsidRDefault="00CC17AF" w:rsidP="00CC17AF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Status</w:t>
            </w:r>
          </w:p>
        </w:tc>
      </w:tr>
      <w:tr w:rsidR="00274D00" w:rsidRPr="002C16EB" w:rsidTr="00D65D57">
        <w:tc>
          <w:tcPr>
            <w:tcW w:w="1426" w:type="dxa"/>
            <w:shd w:val="clear" w:color="auto" w:fill="auto"/>
          </w:tcPr>
          <w:p w:rsidR="00CC17AF" w:rsidRPr="00665C57" w:rsidRDefault="00CC17AF" w:rsidP="002C1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665C57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St. Kitts and Nevis</w:t>
            </w:r>
          </w:p>
        </w:tc>
        <w:tc>
          <w:tcPr>
            <w:tcW w:w="3344" w:type="dxa"/>
            <w:shd w:val="clear" w:color="auto" w:fill="auto"/>
          </w:tcPr>
          <w:p w:rsidR="00CC17AF" w:rsidRPr="00D65D57" w:rsidRDefault="00CC17AF" w:rsidP="00D65D57">
            <w:pPr>
              <w:numPr>
                <w:ilvl w:val="0"/>
                <w:numId w:val="1"/>
              </w:numPr>
              <w:spacing w:after="0" w:line="360" w:lineRule="auto"/>
              <w:ind w:left="176" w:hanging="176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Draft </w:t>
            </w:r>
            <w:proofErr w:type="spellStart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FOI</w:t>
            </w:r>
            <w:proofErr w:type="spellEnd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Bill 2006</w:t>
            </w:r>
          </w:p>
          <w:p w:rsidR="00CC17AF" w:rsidRPr="00D65D57" w:rsidRDefault="00CC17AF" w:rsidP="00D65D57">
            <w:pPr>
              <w:numPr>
                <w:ilvl w:val="0"/>
                <w:numId w:val="1"/>
              </w:numPr>
              <w:spacing w:after="0" w:line="360" w:lineRule="auto"/>
              <w:ind w:left="176" w:hanging="176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No movement forward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CC17AF" w:rsidRPr="00D65D57" w:rsidRDefault="00CC17AF" w:rsidP="00665C57">
            <w:pPr>
              <w:numPr>
                <w:ilvl w:val="0"/>
                <w:numId w:val="1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Investigate possibility of demonstrating the importance of transparency through best practice</w:t>
            </w:r>
          </w:p>
        </w:tc>
        <w:tc>
          <w:tcPr>
            <w:tcW w:w="4286" w:type="dxa"/>
          </w:tcPr>
          <w:p w:rsidR="00CC17AF" w:rsidRPr="002C16EB" w:rsidRDefault="00CC17AF" w:rsidP="002C16E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sz w:val="19"/>
                <w:szCs w:val="19"/>
                <w:lang w:val="en-US"/>
              </w:rPr>
            </w:pPr>
          </w:p>
        </w:tc>
      </w:tr>
      <w:tr w:rsidR="00274D00" w:rsidRPr="002C16EB" w:rsidTr="00D65D57">
        <w:tc>
          <w:tcPr>
            <w:tcW w:w="1426" w:type="dxa"/>
            <w:shd w:val="clear" w:color="auto" w:fill="auto"/>
          </w:tcPr>
          <w:p w:rsidR="00CC17AF" w:rsidRPr="00665C57" w:rsidRDefault="00CC17AF" w:rsidP="002C1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665C57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St. Lucia</w:t>
            </w:r>
          </w:p>
        </w:tc>
        <w:tc>
          <w:tcPr>
            <w:tcW w:w="3344" w:type="dxa"/>
            <w:shd w:val="clear" w:color="auto" w:fill="auto"/>
          </w:tcPr>
          <w:p w:rsidR="00CC17AF" w:rsidRPr="00D65D57" w:rsidRDefault="00CC17AF" w:rsidP="00D65D57">
            <w:pPr>
              <w:numPr>
                <w:ilvl w:val="0"/>
                <w:numId w:val="2"/>
              </w:numPr>
              <w:spacing w:after="0" w:line="360" w:lineRule="auto"/>
              <w:ind w:left="176" w:hanging="176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No legislation exists 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CC17AF" w:rsidRPr="00D65D57" w:rsidRDefault="00CC17AF" w:rsidP="00665C57">
            <w:pPr>
              <w:numPr>
                <w:ilvl w:val="0"/>
                <w:numId w:val="2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Meet with media executives</w:t>
            </w:r>
          </w:p>
          <w:p w:rsidR="00CC17AF" w:rsidRPr="00D65D57" w:rsidRDefault="00CC17AF" w:rsidP="00665C57">
            <w:pPr>
              <w:numPr>
                <w:ilvl w:val="0"/>
                <w:numId w:val="2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Contact business houses</w:t>
            </w:r>
          </w:p>
          <w:p w:rsidR="00CC17AF" w:rsidRPr="00D65D57" w:rsidRDefault="00CC17AF" w:rsidP="00665C57">
            <w:pPr>
              <w:numPr>
                <w:ilvl w:val="0"/>
                <w:numId w:val="2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Build broad coalition</w:t>
            </w:r>
          </w:p>
          <w:p w:rsidR="00CC17AF" w:rsidRPr="00D65D57" w:rsidRDefault="00CC17AF" w:rsidP="00665C57">
            <w:pPr>
              <w:numPr>
                <w:ilvl w:val="0"/>
                <w:numId w:val="2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Invite experts to talk to decision makers</w:t>
            </w:r>
          </w:p>
        </w:tc>
        <w:tc>
          <w:tcPr>
            <w:tcW w:w="4286" w:type="dxa"/>
          </w:tcPr>
          <w:p w:rsidR="00CC17AF" w:rsidRPr="002C16EB" w:rsidRDefault="00CC17AF" w:rsidP="002C16EB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sz w:val="19"/>
                <w:szCs w:val="19"/>
                <w:lang w:val="en-US"/>
              </w:rPr>
            </w:pPr>
          </w:p>
        </w:tc>
      </w:tr>
      <w:tr w:rsidR="00665C57" w:rsidRPr="002C16EB" w:rsidTr="00665C57">
        <w:tc>
          <w:tcPr>
            <w:tcW w:w="13556" w:type="dxa"/>
            <w:gridSpan w:val="5"/>
            <w:shd w:val="clear" w:color="auto" w:fill="92D050"/>
            <w:vAlign w:val="bottom"/>
          </w:tcPr>
          <w:p w:rsidR="00665C57" w:rsidRPr="00274D00" w:rsidRDefault="00665C57" w:rsidP="002C16E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lang w:val="en-US"/>
              </w:rPr>
            </w:pPr>
            <w:r w:rsidRPr="00274D00">
              <w:rPr>
                <w:rFonts w:ascii="Verdana" w:eastAsia="Times New Roman" w:hAnsi="Verdana" w:cs="Times New Roman"/>
                <w:b/>
                <w:lang w:val="en-US"/>
              </w:rPr>
              <w:t xml:space="preserve">STAGE 2: </w:t>
            </w:r>
            <w:proofErr w:type="spellStart"/>
            <w:r w:rsidRPr="00274D00">
              <w:rPr>
                <w:rFonts w:ascii="Verdana" w:eastAsia="Times New Roman" w:hAnsi="Verdana" w:cs="Times New Roman"/>
                <w:b/>
                <w:lang w:val="en-US"/>
              </w:rPr>
              <w:t>FOI</w:t>
            </w:r>
            <w:proofErr w:type="spellEnd"/>
            <w:r w:rsidRPr="00274D00">
              <w:rPr>
                <w:rFonts w:ascii="Verdana" w:eastAsia="Times New Roman" w:hAnsi="Verdana" w:cs="Times New Roman"/>
                <w:b/>
                <w:lang w:val="en-US"/>
              </w:rPr>
              <w:t xml:space="preserve"> LEGISLATION PASSED BUT HAS NOT BEEN IMPLEMENTED</w:t>
            </w:r>
          </w:p>
        </w:tc>
      </w:tr>
      <w:tr w:rsidR="00D65D57" w:rsidRPr="002C16EB" w:rsidTr="00D65D57">
        <w:tc>
          <w:tcPr>
            <w:tcW w:w="1426" w:type="dxa"/>
            <w:shd w:val="clear" w:color="auto" w:fill="FFC000"/>
            <w:vAlign w:val="bottom"/>
          </w:tcPr>
          <w:p w:rsidR="00CC17AF" w:rsidRPr="00665C57" w:rsidRDefault="00CC17AF" w:rsidP="002C16E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665C57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Country</w:t>
            </w:r>
          </w:p>
        </w:tc>
        <w:tc>
          <w:tcPr>
            <w:tcW w:w="3344" w:type="dxa"/>
            <w:shd w:val="clear" w:color="auto" w:fill="FFC000"/>
            <w:vAlign w:val="bottom"/>
          </w:tcPr>
          <w:p w:rsidR="00CC17AF" w:rsidRPr="002C16EB" w:rsidRDefault="00CC17AF" w:rsidP="00CC17AF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2C16EB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State of implementation</w:t>
            </w:r>
          </w:p>
        </w:tc>
        <w:tc>
          <w:tcPr>
            <w:tcW w:w="4500" w:type="dxa"/>
            <w:gridSpan w:val="2"/>
            <w:shd w:val="clear" w:color="auto" w:fill="FFC000"/>
            <w:vAlign w:val="bottom"/>
          </w:tcPr>
          <w:p w:rsidR="00CC17AF" w:rsidRPr="002C16EB" w:rsidRDefault="00CC17AF" w:rsidP="002C16E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2C16EB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Priority actions</w:t>
            </w:r>
          </w:p>
        </w:tc>
        <w:tc>
          <w:tcPr>
            <w:tcW w:w="4286" w:type="dxa"/>
            <w:shd w:val="clear" w:color="auto" w:fill="FFC000"/>
          </w:tcPr>
          <w:p w:rsidR="00CC17AF" w:rsidRPr="002C16EB" w:rsidRDefault="00665C57" w:rsidP="002C16E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Status</w:t>
            </w:r>
          </w:p>
        </w:tc>
      </w:tr>
      <w:tr w:rsidR="00D65D57" w:rsidRPr="002C16EB" w:rsidTr="00D65D57">
        <w:tc>
          <w:tcPr>
            <w:tcW w:w="1426" w:type="dxa"/>
            <w:shd w:val="clear" w:color="auto" w:fill="auto"/>
          </w:tcPr>
          <w:p w:rsidR="00CC17AF" w:rsidRPr="00665C57" w:rsidRDefault="00CC17AF" w:rsidP="002C1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665C57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Bahamas</w:t>
            </w:r>
          </w:p>
        </w:tc>
        <w:tc>
          <w:tcPr>
            <w:tcW w:w="3344" w:type="dxa"/>
            <w:shd w:val="clear" w:color="auto" w:fill="auto"/>
          </w:tcPr>
          <w:p w:rsidR="00CC17AF" w:rsidRPr="00D65D57" w:rsidRDefault="00CC17AF" w:rsidP="00D65D57">
            <w:pPr>
              <w:numPr>
                <w:ilvl w:val="0"/>
                <w:numId w:val="3"/>
              </w:numPr>
              <w:spacing w:after="0" w:line="360" w:lineRule="auto"/>
              <w:ind w:left="176" w:hanging="176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proofErr w:type="spellStart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FOI</w:t>
            </w:r>
            <w:proofErr w:type="spellEnd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Bill 2012</w:t>
            </w:r>
          </w:p>
          <w:p w:rsidR="00CC17AF" w:rsidRPr="00D65D57" w:rsidRDefault="00CC17AF" w:rsidP="00D65D57">
            <w:pPr>
              <w:numPr>
                <w:ilvl w:val="0"/>
                <w:numId w:val="3"/>
              </w:numPr>
              <w:spacing w:after="0" w:line="360" w:lineRule="auto"/>
              <w:ind w:left="176" w:hanging="176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Never </w:t>
            </w:r>
            <w:proofErr w:type="spellStart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gazetted</w:t>
            </w:r>
            <w:proofErr w:type="spellEnd"/>
          </w:p>
          <w:p w:rsidR="00CC17AF" w:rsidRPr="00D65D57" w:rsidRDefault="00CC17AF" w:rsidP="00D65D57">
            <w:pPr>
              <w:numPr>
                <w:ilvl w:val="0"/>
                <w:numId w:val="3"/>
              </w:numPr>
              <w:spacing w:after="0" w:line="360" w:lineRule="auto"/>
              <w:ind w:left="176" w:hanging="176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Implementation unlikely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CC17AF" w:rsidRPr="00D65D57" w:rsidRDefault="00CC17AF" w:rsidP="00665C57">
            <w:pPr>
              <w:numPr>
                <w:ilvl w:val="0"/>
                <w:numId w:val="3"/>
              </w:numPr>
              <w:spacing w:after="0" w:line="360" w:lineRule="auto"/>
              <w:ind w:left="162" w:hanging="18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Find resources to bring in expert speakers to talk to potential supporters</w:t>
            </w:r>
          </w:p>
          <w:p w:rsidR="00CC17AF" w:rsidRPr="00D65D57" w:rsidRDefault="00CC17AF" w:rsidP="00665C57">
            <w:pPr>
              <w:numPr>
                <w:ilvl w:val="0"/>
                <w:numId w:val="3"/>
              </w:numPr>
              <w:spacing w:after="0" w:line="360" w:lineRule="auto"/>
              <w:ind w:left="162" w:hanging="18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Seek support through the Inter-American Press Association (</w:t>
            </w:r>
            <w:proofErr w:type="spellStart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IAPA</w:t>
            </w:r>
            <w:proofErr w:type="spellEnd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) with help from Carolyn Gomes (Jamaica) </w:t>
            </w:r>
          </w:p>
        </w:tc>
        <w:tc>
          <w:tcPr>
            <w:tcW w:w="4286" w:type="dxa"/>
          </w:tcPr>
          <w:p w:rsidR="00CC17AF" w:rsidRPr="002C16EB" w:rsidRDefault="003A5602" w:rsidP="003A5602">
            <w:pPr>
              <w:numPr>
                <w:ilvl w:val="0"/>
                <w:numId w:val="3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9"/>
                <w:szCs w:val="19"/>
                <w:lang w:val="en-US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val="en-US"/>
              </w:rPr>
              <w:t>New government claims it is reviewing legislation for implementation during current term.</w:t>
            </w:r>
          </w:p>
        </w:tc>
      </w:tr>
      <w:tr w:rsidR="00D65D57" w:rsidRPr="002C16EB" w:rsidTr="00D65D57">
        <w:tc>
          <w:tcPr>
            <w:tcW w:w="1426" w:type="dxa"/>
            <w:shd w:val="clear" w:color="auto" w:fill="auto"/>
          </w:tcPr>
          <w:p w:rsidR="00CC17AF" w:rsidRPr="00665C57" w:rsidRDefault="00CC17AF" w:rsidP="002C1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665C57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 xml:space="preserve">Guyana </w:t>
            </w:r>
          </w:p>
        </w:tc>
        <w:tc>
          <w:tcPr>
            <w:tcW w:w="3344" w:type="dxa"/>
            <w:shd w:val="clear" w:color="auto" w:fill="auto"/>
          </w:tcPr>
          <w:p w:rsidR="00CC17AF" w:rsidRPr="00D65D57" w:rsidRDefault="00CC17AF" w:rsidP="00D65D57">
            <w:pPr>
              <w:numPr>
                <w:ilvl w:val="0"/>
                <w:numId w:val="4"/>
              </w:numPr>
              <w:spacing w:after="0" w:line="360" w:lineRule="auto"/>
              <w:ind w:left="176" w:hanging="176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Access to Information Act 2011</w:t>
            </w:r>
          </w:p>
          <w:p w:rsidR="00CC17AF" w:rsidRPr="00D65D57" w:rsidRDefault="00CC17AF" w:rsidP="00D65D57">
            <w:pPr>
              <w:numPr>
                <w:ilvl w:val="0"/>
                <w:numId w:val="4"/>
              </w:numPr>
              <w:spacing w:after="0" w:line="360" w:lineRule="auto"/>
              <w:ind w:left="176" w:hanging="176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Workable document, but lack of political will to implement</w:t>
            </w:r>
          </w:p>
          <w:p w:rsidR="00CC17AF" w:rsidRPr="00D65D57" w:rsidRDefault="00CC17AF" w:rsidP="00D65D57">
            <w:pPr>
              <w:numPr>
                <w:ilvl w:val="0"/>
                <w:numId w:val="4"/>
              </w:numPr>
              <w:spacing w:after="0" w:line="360" w:lineRule="auto"/>
              <w:ind w:left="176" w:hanging="176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lastRenderedPageBreak/>
              <w:t>Perceived lack of resources</w:t>
            </w:r>
          </w:p>
          <w:p w:rsidR="00CC17AF" w:rsidRPr="00D65D57" w:rsidRDefault="00CC17AF" w:rsidP="00D65D57">
            <w:pPr>
              <w:numPr>
                <w:ilvl w:val="0"/>
                <w:numId w:val="4"/>
              </w:numPr>
              <w:spacing w:after="0" w:line="360" w:lineRule="auto"/>
              <w:ind w:left="176" w:hanging="176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NGOs are willing to push it forward due to concerns about corruption</w:t>
            </w:r>
          </w:p>
          <w:p w:rsidR="00CC17AF" w:rsidRPr="00D65D57" w:rsidRDefault="00CC17AF" w:rsidP="00D65D57">
            <w:pPr>
              <w:numPr>
                <w:ilvl w:val="0"/>
                <w:numId w:val="4"/>
              </w:numPr>
              <w:spacing w:after="0" w:line="360" w:lineRule="auto"/>
              <w:ind w:left="176" w:hanging="176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Strong culture of secrecy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CC17AF" w:rsidRPr="00D65D57" w:rsidRDefault="00CC17AF" w:rsidP="00665C57">
            <w:pPr>
              <w:numPr>
                <w:ilvl w:val="0"/>
                <w:numId w:val="4"/>
              </w:numPr>
              <w:spacing w:after="0" w:line="360" w:lineRule="auto"/>
              <w:ind w:left="162" w:hanging="18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lastRenderedPageBreak/>
              <w:t xml:space="preserve">Boost the already strong interface between environmental and </w:t>
            </w:r>
            <w:proofErr w:type="spellStart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FOI</w:t>
            </w:r>
            <w:proofErr w:type="spellEnd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NGO’s</w:t>
            </w:r>
          </w:p>
        </w:tc>
        <w:tc>
          <w:tcPr>
            <w:tcW w:w="4286" w:type="dxa"/>
          </w:tcPr>
          <w:p w:rsidR="00CC17AF" w:rsidRPr="002C16EB" w:rsidRDefault="00CC17AF" w:rsidP="002C16EB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sz w:val="19"/>
                <w:szCs w:val="19"/>
                <w:lang w:val="en-US"/>
              </w:rPr>
            </w:pPr>
          </w:p>
        </w:tc>
      </w:tr>
      <w:tr w:rsidR="00274D00" w:rsidRPr="002C16EB" w:rsidTr="008B3FFA">
        <w:tc>
          <w:tcPr>
            <w:tcW w:w="13556" w:type="dxa"/>
            <w:gridSpan w:val="5"/>
            <w:shd w:val="clear" w:color="auto" w:fill="92D050"/>
            <w:vAlign w:val="bottom"/>
          </w:tcPr>
          <w:p w:rsidR="00274D00" w:rsidRPr="00274D00" w:rsidRDefault="00274D00" w:rsidP="002C16E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lang w:val="en-US"/>
              </w:rPr>
            </w:pPr>
            <w:r w:rsidRPr="00274D00">
              <w:rPr>
                <w:rFonts w:ascii="Verdana" w:eastAsia="Times New Roman" w:hAnsi="Verdana" w:cs="Times New Roman"/>
                <w:b/>
                <w:lang w:val="en-US"/>
              </w:rPr>
              <w:lastRenderedPageBreak/>
              <w:t>S</w:t>
            </w:r>
            <w:r>
              <w:rPr>
                <w:rFonts w:ascii="Verdana" w:eastAsia="Times New Roman" w:hAnsi="Verdana" w:cs="Times New Roman"/>
                <w:b/>
                <w:lang w:val="en-US"/>
              </w:rPr>
              <w:t xml:space="preserve">TAGE 3: </w:t>
            </w:r>
            <w:proofErr w:type="spellStart"/>
            <w:r>
              <w:rPr>
                <w:rFonts w:ascii="Verdana" w:eastAsia="Times New Roman" w:hAnsi="Verdana" w:cs="Times New Roman"/>
                <w:b/>
                <w:lang w:val="en-US"/>
              </w:rPr>
              <w:t>FOI</w:t>
            </w:r>
            <w:proofErr w:type="spellEnd"/>
            <w:r>
              <w:rPr>
                <w:rFonts w:ascii="Verdana" w:eastAsia="Times New Roman" w:hAnsi="Verdana" w:cs="Times New Roman"/>
                <w:b/>
                <w:lang w:val="en-US"/>
              </w:rPr>
              <w:t xml:space="preserve"> LEGISLATION</w:t>
            </w:r>
            <w:r w:rsidRPr="00274D00">
              <w:rPr>
                <w:rFonts w:ascii="Verdana" w:eastAsia="Times New Roman" w:hAnsi="Verdana" w:cs="Times New Roman"/>
                <w:b/>
                <w:lang w:val="en-US"/>
              </w:rPr>
              <w:t xml:space="preserve"> PASSED AND IMPLEMENTED, BUT SIGNIFICANT PROBLEMS EXIST</w:t>
            </w:r>
          </w:p>
        </w:tc>
      </w:tr>
      <w:tr w:rsidR="00CC17AF" w:rsidRPr="002C16EB" w:rsidTr="00D65D57">
        <w:tc>
          <w:tcPr>
            <w:tcW w:w="1426" w:type="dxa"/>
            <w:shd w:val="clear" w:color="auto" w:fill="FFC000"/>
            <w:vAlign w:val="bottom"/>
          </w:tcPr>
          <w:p w:rsidR="00CC17AF" w:rsidRPr="002C16EB" w:rsidRDefault="00CC17AF" w:rsidP="002C16E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2C16EB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Country</w:t>
            </w:r>
          </w:p>
        </w:tc>
        <w:tc>
          <w:tcPr>
            <w:tcW w:w="3344" w:type="dxa"/>
            <w:shd w:val="clear" w:color="auto" w:fill="FFC000"/>
            <w:vAlign w:val="bottom"/>
          </w:tcPr>
          <w:p w:rsidR="00CC17AF" w:rsidRPr="002C16EB" w:rsidRDefault="00665C57" w:rsidP="002C16E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State of implementation</w:t>
            </w:r>
          </w:p>
        </w:tc>
        <w:tc>
          <w:tcPr>
            <w:tcW w:w="4500" w:type="dxa"/>
            <w:gridSpan w:val="2"/>
            <w:shd w:val="clear" w:color="auto" w:fill="FFC000"/>
            <w:vAlign w:val="bottom"/>
          </w:tcPr>
          <w:p w:rsidR="00CC17AF" w:rsidRPr="002C16EB" w:rsidRDefault="00CC17AF" w:rsidP="002C16E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2C16EB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Priority actions</w:t>
            </w:r>
          </w:p>
        </w:tc>
        <w:tc>
          <w:tcPr>
            <w:tcW w:w="4286" w:type="dxa"/>
            <w:shd w:val="clear" w:color="auto" w:fill="FFC000"/>
          </w:tcPr>
          <w:p w:rsidR="00CC17AF" w:rsidRPr="002C16EB" w:rsidRDefault="00665C57" w:rsidP="002C16E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Status</w:t>
            </w:r>
          </w:p>
        </w:tc>
      </w:tr>
      <w:tr w:rsidR="00CC17AF" w:rsidRPr="002C16EB" w:rsidTr="00D65D57">
        <w:tc>
          <w:tcPr>
            <w:tcW w:w="1426" w:type="dxa"/>
            <w:shd w:val="clear" w:color="auto" w:fill="auto"/>
          </w:tcPr>
          <w:p w:rsidR="00CC17AF" w:rsidRPr="00665C57" w:rsidRDefault="00CC17AF" w:rsidP="002C1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665C57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Antigua and Barbuda</w:t>
            </w:r>
          </w:p>
        </w:tc>
        <w:tc>
          <w:tcPr>
            <w:tcW w:w="3344" w:type="dxa"/>
            <w:shd w:val="clear" w:color="auto" w:fill="auto"/>
          </w:tcPr>
          <w:p w:rsidR="00CC17AF" w:rsidRPr="00D65D57" w:rsidRDefault="00CC17AF" w:rsidP="00665C57">
            <w:pPr>
              <w:numPr>
                <w:ilvl w:val="0"/>
                <w:numId w:val="5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proofErr w:type="spellStart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FOI</w:t>
            </w:r>
            <w:proofErr w:type="spellEnd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Act 2004</w:t>
            </w:r>
          </w:p>
          <w:p w:rsidR="00CC17AF" w:rsidRPr="00D65D57" w:rsidRDefault="00CC17AF" w:rsidP="00665C57">
            <w:pPr>
              <w:numPr>
                <w:ilvl w:val="0"/>
                <w:numId w:val="5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Newly appointed  Information Commissioner is setting up his Office, expanding staff</w:t>
            </w:r>
          </w:p>
          <w:p w:rsidR="00CC17AF" w:rsidRPr="00D65D57" w:rsidRDefault="00CC17AF" w:rsidP="00665C57">
            <w:pPr>
              <w:numPr>
                <w:ilvl w:val="0"/>
                <w:numId w:val="5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Assistance needed in training, public education, media promotion</w:t>
            </w:r>
          </w:p>
          <w:p w:rsidR="00CC17AF" w:rsidRPr="00D65D57" w:rsidRDefault="00CC17AF" w:rsidP="00665C57">
            <w:pPr>
              <w:numPr>
                <w:ilvl w:val="0"/>
                <w:numId w:val="5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Civil servants are unaware of their legal responsibilities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CC17AF" w:rsidRPr="00D65D57" w:rsidRDefault="00CC17AF" w:rsidP="00665C57">
            <w:pPr>
              <w:numPr>
                <w:ilvl w:val="0"/>
                <w:numId w:val="5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Improved networking in the region by creation of a lasting Caribbean </w:t>
            </w:r>
            <w:proofErr w:type="spellStart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FOI</w:t>
            </w:r>
            <w:proofErr w:type="spellEnd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Committee/organization</w:t>
            </w:r>
          </w:p>
          <w:p w:rsidR="00CC17AF" w:rsidRPr="00D65D57" w:rsidRDefault="00CC17AF" w:rsidP="00665C57">
            <w:pPr>
              <w:numPr>
                <w:ilvl w:val="0"/>
                <w:numId w:val="5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Use of e-communication to network and share information and tools</w:t>
            </w:r>
          </w:p>
          <w:p w:rsidR="00CC17AF" w:rsidRPr="00D65D57" w:rsidRDefault="00CC17AF" w:rsidP="00665C57">
            <w:pPr>
              <w:numPr>
                <w:ilvl w:val="0"/>
                <w:numId w:val="5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Have more regional conferences </w:t>
            </w:r>
          </w:p>
          <w:p w:rsidR="00CC17AF" w:rsidRPr="00D65D57" w:rsidRDefault="00CC17AF" w:rsidP="00665C57">
            <w:pPr>
              <w:numPr>
                <w:ilvl w:val="0"/>
                <w:numId w:val="5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Creation of regional press list</w:t>
            </w:r>
          </w:p>
        </w:tc>
        <w:tc>
          <w:tcPr>
            <w:tcW w:w="4286" w:type="dxa"/>
          </w:tcPr>
          <w:p w:rsidR="00CC17AF" w:rsidRPr="002C16EB" w:rsidRDefault="00CC17AF" w:rsidP="002C16EB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sz w:val="19"/>
                <w:szCs w:val="19"/>
                <w:lang w:val="en-US"/>
              </w:rPr>
            </w:pPr>
          </w:p>
        </w:tc>
      </w:tr>
      <w:tr w:rsidR="00CC17AF" w:rsidRPr="002C16EB" w:rsidTr="00D65D57">
        <w:tc>
          <w:tcPr>
            <w:tcW w:w="1426" w:type="dxa"/>
            <w:shd w:val="clear" w:color="auto" w:fill="auto"/>
          </w:tcPr>
          <w:p w:rsidR="00CC17AF" w:rsidRPr="00665C57" w:rsidRDefault="00CC17AF" w:rsidP="002C1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665C57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Belize</w:t>
            </w:r>
          </w:p>
        </w:tc>
        <w:tc>
          <w:tcPr>
            <w:tcW w:w="3344" w:type="dxa"/>
            <w:shd w:val="clear" w:color="auto" w:fill="auto"/>
          </w:tcPr>
          <w:p w:rsidR="00CC17AF" w:rsidRPr="00D65D57" w:rsidRDefault="00CC17AF" w:rsidP="00665C57">
            <w:pPr>
              <w:numPr>
                <w:ilvl w:val="0"/>
                <w:numId w:val="6"/>
              </w:numPr>
              <w:spacing w:after="0" w:line="360" w:lineRule="auto"/>
              <w:ind w:left="217" w:hanging="18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proofErr w:type="spellStart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FOI</w:t>
            </w:r>
            <w:proofErr w:type="spellEnd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Act 1994</w:t>
            </w:r>
          </w:p>
          <w:p w:rsidR="00CC17AF" w:rsidRPr="00D65D57" w:rsidRDefault="00CC17AF" w:rsidP="00665C57">
            <w:pPr>
              <w:numPr>
                <w:ilvl w:val="0"/>
                <w:numId w:val="6"/>
              </w:numPr>
              <w:spacing w:after="0" w:line="360" w:lineRule="auto"/>
              <w:ind w:left="217" w:hanging="18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Only a handful of requests have been made</w:t>
            </w:r>
          </w:p>
          <w:p w:rsidR="00CC17AF" w:rsidRPr="00D65D57" w:rsidRDefault="00CC17AF" w:rsidP="00665C57">
            <w:pPr>
              <w:numPr>
                <w:ilvl w:val="0"/>
                <w:numId w:val="6"/>
              </w:numPr>
              <w:spacing w:after="0" w:line="360" w:lineRule="auto"/>
              <w:ind w:left="217" w:hanging="18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Public, NGO’s and media remain unaware of the law</w:t>
            </w:r>
          </w:p>
          <w:p w:rsidR="00CC17AF" w:rsidRPr="00D65D57" w:rsidRDefault="00CC17AF" w:rsidP="00665C57">
            <w:pPr>
              <w:numPr>
                <w:ilvl w:val="0"/>
                <w:numId w:val="6"/>
              </w:numPr>
              <w:spacing w:after="0" w:line="360" w:lineRule="auto"/>
              <w:ind w:left="217" w:hanging="18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Present legislation is inadequate </w:t>
            </w:r>
          </w:p>
          <w:p w:rsidR="00CC17AF" w:rsidRPr="00D65D57" w:rsidRDefault="00CC17AF" w:rsidP="00665C57">
            <w:pPr>
              <w:numPr>
                <w:ilvl w:val="0"/>
                <w:numId w:val="6"/>
              </w:numPr>
              <w:spacing w:after="0" w:line="360" w:lineRule="auto"/>
              <w:ind w:left="217" w:hanging="18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Not fully implemented, e.g. no access officers appointed</w:t>
            </w:r>
          </w:p>
          <w:p w:rsidR="00CC17AF" w:rsidRPr="00D65D57" w:rsidRDefault="00CC17AF" w:rsidP="00665C57">
            <w:pPr>
              <w:numPr>
                <w:ilvl w:val="0"/>
                <w:numId w:val="6"/>
              </w:numPr>
              <w:spacing w:after="0" w:line="360" w:lineRule="auto"/>
              <w:ind w:left="217" w:hanging="18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Powers of Ombudsman too limited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CC17AF" w:rsidRPr="00D65D57" w:rsidRDefault="00CC17AF" w:rsidP="00665C57">
            <w:pPr>
              <w:numPr>
                <w:ilvl w:val="0"/>
                <w:numId w:val="6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Build broader coalition including media, to focus on public education</w:t>
            </w:r>
          </w:p>
          <w:p w:rsidR="00CC17AF" w:rsidRPr="00D65D57" w:rsidRDefault="00CC17AF" w:rsidP="00665C57">
            <w:pPr>
              <w:numPr>
                <w:ilvl w:val="0"/>
                <w:numId w:val="6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Push for review of the legislation</w:t>
            </w:r>
          </w:p>
          <w:p w:rsidR="00CC17AF" w:rsidRPr="00D65D57" w:rsidRDefault="00CC17AF" w:rsidP="00665C57">
            <w:pPr>
              <w:numPr>
                <w:ilvl w:val="0"/>
                <w:numId w:val="6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Organize expert workshops and presentations</w:t>
            </w:r>
          </w:p>
          <w:p w:rsidR="00CC17AF" w:rsidRPr="00D65D57" w:rsidRDefault="00CC17AF" w:rsidP="00665C57">
            <w:pPr>
              <w:numPr>
                <w:ilvl w:val="0"/>
                <w:numId w:val="6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Gather evidence of what is wrong with the present situation (e.g. make requests and document how they are dealt with)</w:t>
            </w:r>
          </w:p>
          <w:p w:rsidR="00CC17AF" w:rsidRPr="00D65D57" w:rsidRDefault="00CC17AF" w:rsidP="00665C57">
            <w:pPr>
              <w:numPr>
                <w:ilvl w:val="0"/>
                <w:numId w:val="6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Put pressure on government to appoint access officers</w:t>
            </w:r>
          </w:p>
        </w:tc>
        <w:tc>
          <w:tcPr>
            <w:tcW w:w="4286" w:type="dxa"/>
          </w:tcPr>
          <w:p w:rsidR="00CC17AF" w:rsidRPr="003A5602" w:rsidRDefault="003A5602" w:rsidP="003A5602">
            <w:pPr>
              <w:numPr>
                <w:ilvl w:val="0"/>
                <w:numId w:val="6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Oceana Belize </w:t>
            </w:r>
            <w:r w:rsidRPr="003A560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recruited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a </w:t>
            </w:r>
            <w:r w:rsidRPr="003A560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few media members to group and help work on this. 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First m</w:t>
            </w:r>
            <w:r w:rsidRPr="003A560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eeting with main protagonist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3A560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Dyon</w:t>
            </w:r>
            <w:proofErr w:type="spellEnd"/>
            <w:r w:rsidRPr="003A560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Elliot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(media)</w:t>
            </w:r>
            <w:r w:rsidRPr="003A560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on Wednesday May 8, 2013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to discuss issues.</w:t>
            </w:r>
          </w:p>
        </w:tc>
      </w:tr>
      <w:tr w:rsidR="00274D00" w:rsidRPr="002C16EB" w:rsidTr="00E60DBB">
        <w:tc>
          <w:tcPr>
            <w:tcW w:w="13556" w:type="dxa"/>
            <w:gridSpan w:val="5"/>
            <w:shd w:val="clear" w:color="auto" w:fill="92D050"/>
          </w:tcPr>
          <w:p w:rsidR="00274D00" w:rsidRPr="00274D00" w:rsidRDefault="00274D00" w:rsidP="00274D00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lang w:val="en-US"/>
              </w:rPr>
            </w:pPr>
            <w:r w:rsidRPr="00274D00">
              <w:rPr>
                <w:rFonts w:ascii="Verdana" w:eastAsia="Times New Roman" w:hAnsi="Verdana" w:cs="Times New Roman"/>
                <w:b/>
                <w:lang w:val="en-US"/>
              </w:rPr>
              <w:lastRenderedPageBreak/>
              <w:t xml:space="preserve">STAGE 4: </w:t>
            </w:r>
            <w:proofErr w:type="spellStart"/>
            <w:r w:rsidRPr="00274D00">
              <w:rPr>
                <w:rFonts w:ascii="Verdana" w:eastAsia="Times New Roman" w:hAnsi="Verdana" w:cs="Times New Roman"/>
                <w:b/>
                <w:lang w:val="en-US"/>
              </w:rPr>
              <w:t>FOI</w:t>
            </w:r>
            <w:proofErr w:type="spellEnd"/>
            <w:r w:rsidRPr="00274D00">
              <w:rPr>
                <w:rFonts w:ascii="Verdana" w:eastAsia="Times New Roman" w:hAnsi="Verdana" w:cs="Times New Roman"/>
                <w:b/>
                <w:lang w:val="en-US"/>
              </w:rPr>
              <w:t xml:space="preserve"> LEGISLATION IS FULLY BEING ENFORCED</w:t>
            </w:r>
          </w:p>
        </w:tc>
      </w:tr>
      <w:tr w:rsidR="00CC17AF" w:rsidRPr="002C16EB" w:rsidTr="00D65D57">
        <w:tc>
          <w:tcPr>
            <w:tcW w:w="1426" w:type="dxa"/>
            <w:shd w:val="clear" w:color="auto" w:fill="FFC000"/>
          </w:tcPr>
          <w:p w:rsidR="00CC17AF" w:rsidRPr="002C16EB" w:rsidRDefault="00CC17AF" w:rsidP="00665C57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2C16EB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Country</w:t>
            </w:r>
          </w:p>
        </w:tc>
        <w:tc>
          <w:tcPr>
            <w:tcW w:w="3344" w:type="dxa"/>
            <w:shd w:val="clear" w:color="auto" w:fill="FFC000"/>
          </w:tcPr>
          <w:p w:rsidR="00CC17AF" w:rsidRPr="002C16EB" w:rsidRDefault="00CC17AF" w:rsidP="00665C57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2C16EB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State of implementation</w:t>
            </w:r>
          </w:p>
        </w:tc>
        <w:tc>
          <w:tcPr>
            <w:tcW w:w="4500" w:type="dxa"/>
            <w:gridSpan w:val="2"/>
            <w:shd w:val="clear" w:color="auto" w:fill="FFC000"/>
          </w:tcPr>
          <w:p w:rsidR="00CC17AF" w:rsidRPr="002C16EB" w:rsidRDefault="00CC17AF" w:rsidP="00665C57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2C16EB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Priority actions</w:t>
            </w:r>
          </w:p>
        </w:tc>
        <w:tc>
          <w:tcPr>
            <w:tcW w:w="4286" w:type="dxa"/>
            <w:shd w:val="clear" w:color="auto" w:fill="FFC000"/>
          </w:tcPr>
          <w:p w:rsidR="00CC17AF" w:rsidRPr="002C16EB" w:rsidRDefault="00665C57" w:rsidP="00665C57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Status</w:t>
            </w:r>
          </w:p>
        </w:tc>
      </w:tr>
      <w:tr w:rsidR="00CC17AF" w:rsidRPr="002C16EB" w:rsidTr="00D65D57">
        <w:tc>
          <w:tcPr>
            <w:tcW w:w="1426" w:type="dxa"/>
            <w:shd w:val="clear" w:color="auto" w:fill="auto"/>
          </w:tcPr>
          <w:p w:rsidR="00CC17AF" w:rsidRPr="00665C57" w:rsidRDefault="00CC17AF" w:rsidP="002C1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665C57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Cayman Islands</w:t>
            </w:r>
          </w:p>
        </w:tc>
        <w:tc>
          <w:tcPr>
            <w:tcW w:w="3344" w:type="dxa"/>
            <w:shd w:val="clear" w:color="auto" w:fill="auto"/>
          </w:tcPr>
          <w:p w:rsidR="00CC17AF" w:rsidRDefault="00CC17AF" w:rsidP="003A5602">
            <w:pPr>
              <w:numPr>
                <w:ilvl w:val="0"/>
                <w:numId w:val="7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proofErr w:type="spellStart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FOI</w:t>
            </w:r>
            <w:proofErr w:type="spellEnd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Law 2007 </w:t>
            </w:r>
          </w:p>
          <w:p w:rsidR="003A5602" w:rsidRPr="00D65D57" w:rsidRDefault="003A5602" w:rsidP="003A5602">
            <w:pPr>
              <w:numPr>
                <w:ilvl w:val="0"/>
                <w:numId w:val="7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proofErr w:type="spellStart"/>
            <w:r w:rsidRPr="003A560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FOI</w:t>
            </w:r>
            <w:proofErr w:type="spellEnd"/>
            <w:r w:rsidRPr="003A560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office needs additional funding to bring staff levels back up to normal, budget cuts have hampered its ability to monitor and enforce the law.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CC17AF" w:rsidRPr="00D65D57" w:rsidRDefault="00CC17AF" w:rsidP="00665C57">
            <w:pPr>
              <w:numPr>
                <w:ilvl w:val="0"/>
                <w:numId w:val="7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Seek more help from civil society groups to promote the Act</w:t>
            </w:r>
          </w:p>
          <w:p w:rsidR="00CC17AF" w:rsidRDefault="00CC17AF" w:rsidP="00665C57">
            <w:pPr>
              <w:numPr>
                <w:ilvl w:val="0"/>
                <w:numId w:val="7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Law review in process – formulate updated recommendations</w:t>
            </w:r>
          </w:p>
          <w:p w:rsidR="003A5602" w:rsidRPr="00D65D57" w:rsidRDefault="003A5602" w:rsidP="008A4786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4286" w:type="dxa"/>
          </w:tcPr>
          <w:p w:rsidR="00CC17AF" w:rsidRPr="002C16EB" w:rsidRDefault="00CC17AF" w:rsidP="002C16EB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sz w:val="19"/>
                <w:szCs w:val="19"/>
                <w:lang w:val="en-US"/>
              </w:rPr>
            </w:pPr>
          </w:p>
        </w:tc>
      </w:tr>
      <w:tr w:rsidR="00CC17AF" w:rsidRPr="002C16EB" w:rsidTr="00D65D57">
        <w:tc>
          <w:tcPr>
            <w:tcW w:w="1426" w:type="dxa"/>
            <w:shd w:val="clear" w:color="auto" w:fill="auto"/>
          </w:tcPr>
          <w:p w:rsidR="00CC17AF" w:rsidRPr="00665C57" w:rsidRDefault="00CC17AF" w:rsidP="002C1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665C57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Jamaica</w:t>
            </w:r>
          </w:p>
        </w:tc>
        <w:tc>
          <w:tcPr>
            <w:tcW w:w="3344" w:type="dxa"/>
            <w:shd w:val="clear" w:color="auto" w:fill="auto"/>
          </w:tcPr>
          <w:p w:rsidR="00CC17AF" w:rsidRPr="00D65D57" w:rsidRDefault="00CC17AF" w:rsidP="00665C57">
            <w:pPr>
              <w:numPr>
                <w:ilvl w:val="0"/>
                <w:numId w:val="8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proofErr w:type="spellStart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FOI</w:t>
            </w:r>
            <w:proofErr w:type="spellEnd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Act 2002</w:t>
            </w:r>
          </w:p>
          <w:p w:rsidR="00CC17AF" w:rsidRPr="00D65D57" w:rsidRDefault="00CC17AF" w:rsidP="00D65D57">
            <w:pPr>
              <w:numPr>
                <w:ilvl w:val="0"/>
                <w:numId w:val="8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Strong support from broad coalition incl</w:t>
            </w:r>
            <w:r w:rsid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.</w:t>
            </w: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media and civil society</w:t>
            </w:r>
            <w:r w:rsid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that assists with</w:t>
            </w: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implementation 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CC17AF" w:rsidRPr="00D65D57" w:rsidRDefault="00CC17AF" w:rsidP="00665C57">
            <w:pPr>
              <w:numPr>
                <w:ilvl w:val="0"/>
                <w:numId w:val="8"/>
              </w:numPr>
              <w:spacing w:after="0" w:line="360" w:lineRule="auto"/>
              <w:ind w:left="162" w:hanging="18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Publicize the Act more</w:t>
            </w:r>
          </w:p>
          <w:p w:rsidR="00CC17AF" w:rsidRPr="00D65D57" w:rsidRDefault="00CC17AF" w:rsidP="00665C57">
            <w:pPr>
              <w:numPr>
                <w:ilvl w:val="0"/>
                <w:numId w:val="8"/>
              </w:numPr>
              <w:spacing w:after="0" w:line="360" w:lineRule="auto"/>
              <w:ind w:left="162" w:hanging="18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Educate regarding right to appeal</w:t>
            </w:r>
          </w:p>
          <w:p w:rsidR="00CC17AF" w:rsidRPr="00D65D57" w:rsidRDefault="00CC17AF" w:rsidP="00665C57">
            <w:pPr>
              <w:numPr>
                <w:ilvl w:val="0"/>
                <w:numId w:val="8"/>
              </w:numPr>
              <w:spacing w:after="0" w:line="360" w:lineRule="auto"/>
              <w:ind w:left="162" w:hanging="18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Improve compliance monitoring</w:t>
            </w:r>
          </w:p>
          <w:p w:rsidR="00CC17AF" w:rsidRPr="00D65D57" w:rsidRDefault="00CC17AF" w:rsidP="00665C57">
            <w:pPr>
              <w:numPr>
                <w:ilvl w:val="0"/>
                <w:numId w:val="8"/>
              </w:numPr>
              <w:spacing w:after="0" w:line="360" w:lineRule="auto"/>
              <w:ind w:left="162" w:hanging="18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Amendment of Act forthcoming</w:t>
            </w:r>
          </w:p>
          <w:p w:rsidR="00CC17AF" w:rsidRPr="00D65D57" w:rsidRDefault="00CC17AF" w:rsidP="00665C57">
            <w:pPr>
              <w:numPr>
                <w:ilvl w:val="0"/>
                <w:numId w:val="8"/>
              </w:numPr>
              <w:spacing w:after="0" w:line="360" w:lineRule="auto"/>
              <w:ind w:left="162" w:hanging="18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Amend appeal form (too legalistic)</w:t>
            </w:r>
          </w:p>
        </w:tc>
        <w:tc>
          <w:tcPr>
            <w:tcW w:w="4286" w:type="dxa"/>
          </w:tcPr>
          <w:p w:rsidR="00CC17AF" w:rsidRPr="002C16EB" w:rsidRDefault="00CC17AF" w:rsidP="002C16EB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sz w:val="19"/>
                <w:szCs w:val="19"/>
                <w:lang w:val="en-US"/>
              </w:rPr>
            </w:pPr>
          </w:p>
        </w:tc>
      </w:tr>
      <w:tr w:rsidR="00CC17AF" w:rsidRPr="002C16EB" w:rsidTr="00D65D57">
        <w:tc>
          <w:tcPr>
            <w:tcW w:w="1426" w:type="dxa"/>
            <w:shd w:val="clear" w:color="auto" w:fill="auto"/>
          </w:tcPr>
          <w:p w:rsidR="00CC17AF" w:rsidRPr="00274D00" w:rsidRDefault="00CC17AF" w:rsidP="002C1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274D00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St. Vincent and the Grenadines</w:t>
            </w:r>
          </w:p>
        </w:tc>
        <w:tc>
          <w:tcPr>
            <w:tcW w:w="3344" w:type="dxa"/>
            <w:shd w:val="clear" w:color="auto" w:fill="auto"/>
          </w:tcPr>
          <w:p w:rsidR="00CC17AF" w:rsidRPr="00D65D57" w:rsidRDefault="00CC17AF" w:rsidP="00665C57">
            <w:pPr>
              <w:numPr>
                <w:ilvl w:val="0"/>
                <w:numId w:val="9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proofErr w:type="spellStart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FOI</w:t>
            </w:r>
            <w:proofErr w:type="spellEnd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Act 2003</w:t>
            </w:r>
          </w:p>
          <w:p w:rsidR="00CC17AF" w:rsidRPr="00D65D57" w:rsidRDefault="00CC17AF" w:rsidP="00665C57">
            <w:pPr>
              <w:numPr>
                <w:ilvl w:val="0"/>
                <w:numId w:val="9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Appeal by judicial review only (not many appeals)</w:t>
            </w:r>
          </w:p>
          <w:p w:rsidR="00CC17AF" w:rsidRPr="00D65D57" w:rsidRDefault="00CC17AF" w:rsidP="00665C57">
            <w:pPr>
              <w:numPr>
                <w:ilvl w:val="0"/>
                <w:numId w:val="9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No compliance monitoring, no reporting</w:t>
            </w:r>
          </w:p>
          <w:p w:rsidR="00CC17AF" w:rsidRPr="00D65D57" w:rsidRDefault="00CC17AF" w:rsidP="00665C57">
            <w:pPr>
              <w:numPr>
                <w:ilvl w:val="0"/>
                <w:numId w:val="9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Little awareness of the Act in the general public</w:t>
            </w:r>
          </w:p>
          <w:p w:rsidR="00CC17AF" w:rsidRPr="00D65D57" w:rsidRDefault="00CC17AF" w:rsidP="00665C57">
            <w:pPr>
              <w:numPr>
                <w:ilvl w:val="0"/>
                <w:numId w:val="9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Insufficient resources for </w:t>
            </w:r>
            <w:proofErr w:type="spellStart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FOI</w:t>
            </w:r>
            <w:proofErr w:type="spellEnd"/>
          </w:p>
        </w:tc>
        <w:tc>
          <w:tcPr>
            <w:tcW w:w="4500" w:type="dxa"/>
            <w:gridSpan w:val="2"/>
            <w:shd w:val="clear" w:color="auto" w:fill="auto"/>
          </w:tcPr>
          <w:p w:rsidR="00CC17AF" w:rsidRPr="00D65D57" w:rsidRDefault="00CC17AF" w:rsidP="00665C57">
            <w:pPr>
              <w:numPr>
                <w:ilvl w:val="0"/>
                <w:numId w:val="9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Boost public education</w:t>
            </w:r>
          </w:p>
          <w:p w:rsidR="00CC17AF" w:rsidRPr="00D65D57" w:rsidRDefault="00CC17AF" w:rsidP="00665C57">
            <w:pPr>
              <w:numPr>
                <w:ilvl w:val="0"/>
                <w:numId w:val="9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Networking with others in the region</w:t>
            </w:r>
          </w:p>
          <w:p w:rsidR="00CC17AF" w:rsidRPr="00D65D57" w:rsidRDefault="00CC17AF" w:rsidP="00665C57">
            <w:pPr>
              <w:numPr>
                <w:ilvl w:val="0"/>
                <w:numId w:val="9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Seek amendment of legislation re appeal mechanism</w:t>
            </w:r>
          </w:p>
        </w:tc>
        <w:tc>
          <w:tcPr>
            <w:tcW w:w="4286" w:type="dxa"/>
          </w:tcPr>
          <w:p w:rsidR="00CC17AF" w:rsidRPr="002C16EB" w:rsidRDefault="00CC17AF" w:rsidP="002C16E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sz w:val="19"/>
                <w:szCs w:val="19"/>
                <w:lang w:val="en-US"/>
              </w:rPr>
            </w:pPr>
          </w:p>
        </w:tc>
      </w:tr>
      <w:tr w:rsidR="00CC17AF" w:rsidRPr="002C16EB" w:rsidTr="00D65D57">
        <w:tc>
          <w:tcPr>
            <w:tcW w:w="1426" w:type="dxa"/>
            <w:shd w:val="clear" w:color="auto" w:fill="auto"/>
          </w:tcPr>
          <w:p w:rsidR="00CC17AF" w:rsidRPr="00274D00" w:rsidRDefault="00CC17AF" w:rsidP="002C1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274D00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Trinidad and Tobago</w:t>
            </w:r>
          </w:p>
        </w:tc>
        <w:tc>
          <w:tcPr>
            <w:tcW w:w="3344" w:type="dxa"/>
            <w:shd w:val="clear" w:color="auto" w:fill="auto"/>
          </w:tcPr>
          <w:p w:rsidR="00CC17AF" w:rsidRPr="00D65D57" w:rsidRDefault="00CC17AF" w:rsidP="00665C57">
            <w:pPr>
              <w:numPr>
                <w:ilvl w:val="0"/>
                <w:numId w:val="10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proofErr w:type="spellStart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FOI</w:t>
            </w:r>
            <w:proofErr w:type="spellEnd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Act 1999</w:t>
            </w:r>
          </w:p>
          <w:p w:rsidR="00CC17AF" w:rsidRPr="00D65D57" w:rsidRDefault="00CC17AF" w:rsidP="00665C57">
            <w:pPr>
              <w:numPr>
                <w:ilvl w:val="0"/>
                <w:numId w:val="10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Appeal by judicial review (narrow time limit and costly)</w:t>
            </w:r>
          </w:p>
          <w:p w:rsidR="00CC17AF" w:rsidRPr="00D65D57" w:rsidRDefault="00CC17AF" w:rsidP="00665C57">
            <w:pPr>
              <w:numPr>
                <w:ilvl w:val="0"/>
                <w:numId w:val="10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Too many exemptions</w:t>
            </w:r>
          </w:p>
          <w:p w:rsidR="00CC17AF" w:rsidRPr="00D65D57" w:rsidRDefault="00CC17AF" w:rsidP="00665C57">
            <w:pPr>
              <w:numPr>
                <w:ilvl w:val="0"/>
                <w:numId w:val="10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Little public awareness </w:t>
            </w:r>
            <w:r w:rsidR="00D65D57"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-</w:t>
            </w:r>
            <w:r w:rsid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n</w:t>
            </w: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ot being used a lot</w:t>
            </w:r>
          </w:p>
          <w:p w:rsidR="00CC17AF" w:rsidRPr="00D65D57" w:rsidRDefault="00CC17AF" w:rsidP="00665C57">
            <w:pPr>
              <w:numPr>
                <w:ilvl w:val="0"/>
                <w:numId w:val="10"/>
              </w:numPr>
              <w:spacing w:after="0" w:line="360" w:lineRule="auto"/>
              <w:ind w:left="217" w:hanging="217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proofErr w:type="spellStart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FOI</w:t>
            </w:r>
            <w:proofErr w:type="spellEnd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Unit was cut- undermines </w:t>
            </w: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lastRenderedPageBreak/>
              <w:t>the operation of the Act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CC17AF" w:rsidRPr="00D65D57" w:rsidRDefault="00CC17AF" w:rsidP="00274D00">
            <w:pPr>
              <w:numPr>
                <w:ilvl w:val="0"/>
                <w:numId w:val="10"/>
              </w:numPr>
              <w:spacing w:after="0" w:line="360" w:lineRule="auto"/>
              <w:ind w:left="143" w:hanging="143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lastRenderedPageBreak/>
              <w:t>Build broad coalition, including trade unions</w:t>
            </w:r>
            <w:r w:rsidR="003A5602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, NGOs</w:t>
            </w: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and business organizations</w:t>
            </w:r>
          </w:p>
          <w:p w:rsidR="00CC17AF" w:rsidRPr="00D65D57" w:rsidRDefault="00CC17AF" w:rsidP="00274D00">
            <w:pPr>
              <w:numPr>
                <w:ilvl w:val="0"/>
                <w:numId w:val="10"/>
              </w:numPr>
              <w:spacing w:after="0" w:line="360" w:lineRule="auto"/>
              <w:ind w:left="143" w:hanging="143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Conduct letter-writing campaign</w:t>
            </w:r>
          </w:p>
          <w:p w:rsidR="00CC17AF" w:rsidRPr="00D65D57" w:rsidRDefault="00CC17AF" w:rsidP="00274D00">
            <w:pPr>
              <w:numPr>
                <w:ilvl w:val="0"/>
                <w:numId w:val="10"/>
              </w:numPr>
              <w:spacing w:after="0" w:line="360" w:lineRule="auto"/>
              <w:ind w:left="143" w:hanging="143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Increase public awareness</w:t>
            </w:r>
          </w:p>
          <w:p w:rsidR="00CC17AF" w:rsidRPr="00D65D57" w:rsidRDefault="00CC17AF" w:rsidP="00274D00">
            <w:pPr>
              <w:numPr>
                <w:ilvl w:val="0"/>
                <w:numId w:val="10"/>
              </w:numPr>
              <w:spacing w:after="0" w:line="360" w:lineRule="auto"/>
              <w:ind w:left="143" w:hanging="143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Network with others in the region</w:t>
            </w:r>
          </w:p>
          <w:p w:rsidR="00CC17AF" w:rsidRPr="00D65D57" w:rsidRDefault="00CC17AF" w:rsidP="002C16EB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4286" w:type="dxa"/>
          </w:tcPr>
          <w:p w:rsidR="00CC17AF" w:rsidRPr="002C16EB" w:rsidRDefault="00CC17AF" w:rsidP="003A5602">
            <w:pPr>
              <w:spacing w:after="0" w:line="360" w:lineRule="auto"/>
              <w:ind w:left="360"/>
              <w:jc w:val="both"/>
              <w:rPr>
                <w:rFonts w:ascii="Verdana" w:eastAsia="Times New Roman" w:hAnsi="Verdana" w:cs="Times New Roman"/>
                <w:sz w:val="19"/>
                <w:szCs w:val="19"/>
                <w:lang w:val="en-US"/>
              </w:rPr>
            </w:pPr>
          </w:p>
        </w:tc>
      </w:tr>
      <w:tr w:rsidR="00274D00" w:rsidRPr="002C16EB" w:rsidTr="003E3E16">
        <w:tc>
          <w:tcPr>
            <w:tcW w:w="13556" w:type="dxa"/>
            <w:gridSpan w:val="5"/>
            <w:shd w:val="clear" w:color="auto" w:fill="92D050"/>
          </w:tcPr>
          <w:p w:rsidR="00274D00" w:rsidRPr="002C16EB" w:rsidRDefault="00274D00" w:rsidP="00274D00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274D00">
              <w:rPr>
                <w:rFonts w:ascii="Verdana" w:eastAsia="Times New Roman" w:hAnsi="Verdana" w:cs="Times New Roman"/>
                <w:b/>
                <w:lang w:val="en-US"/>
              </w:rPr>
              <w:lastRenderedPageBreak/>
              <w:t>ACTION ITEMS FOR IMPLEMENTATION BY ALL COUNTRIES</w:t>
            </w:r>
          </w:p>
        </w:tc>
      </w:tr>
      <w:tr w:rsidR="00274D00" w:rsidRPr="002C16EB" w:rsidTr="00D65D57">
        <w:tc>
          <w:tcPr>
            <w:tcW w:w="6120" w:type="dxa"/>
            <w:gridSpan w:val="3"/>
            <w:shd w:val="clear" w:color="auto" w:fill="FFC000"/>
          </w:tcPr>
          <w:p w:rsidR="00274D00" w:rsidRPr="002C16EB" w:rsidRDefault="00274D00" w:rsidP="00274D00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2C16EB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Priority actions</w:t>
            </w:r>
          </w:p>
        </w:tc>
        <w:tc>
          <w:tcPr>
            <w:tcW w:w="7436" w:type="dxa"/>
            <w:gridSpan w:val="2"/>
            <w:shd w:val="clear" w:color="auto" w:fill="FFC000"/>
          </w:tcPr>
          <w:p w:rsidR="00274D00" w:rsidRPr="002C16EB" w:rsidRDefault="00274D00" w:rsidP="00274D00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</w:pPr>
            <w:r w:rsidRPr="002C16EB">
              <w:rPr>
                <w:rFonts w:ascii="Verdana" w:eastAsia="Times New Roman" w:hAnsi="Verdana" w:cs="Times New Roman"/>
                <w:b/>
                <w:sz w:val="19"/>
                <w:szCs w:val="19"/>
                <w:lang w:val="en-US"/>
              </w:rPr>
              <w:t>Status</w:t>
            </w:r>
          </w:p>
        </w:tc>
      </w:tr>
      <w:tr w:rsidR="00274D00" w:rsidRPr="002C16EB" w:rsidTr="00D65D57">
        <w:tc>
          <w:tcPr>
            <w:tcW w:w="6120" w:type="dxa"/>
            <w:gridSpan w:val="3"/>
            <w:shd w:val="clear" w:color="auto" w:fill="auto"/>
          </w:tcPr>
          <w:p w:rsidR="00274D00" w:rsidRPr="00D65D57" w:rsidRDefault="00274D00" w:rsidP="00274D00">
            <w:pPr>
              <w:numPr>
                <w:ilvl w:val="0"/>
                <w:numId w:val="11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</w:rPr>
              <w:t>Individual press releases sent from each country to national media houses</w:t>
            </w:r>
          </w:p>
        </w:tc>
        <w:tc>
          <w:tcPr>
            <w:tcW w:w="7436" w:type="dxa"/>
            <w:gridSpan w:val="2"/>
            <w:shd w:val="clear" w:color="auto" w:fill="auto"/>
          </w:tcPr>
          <w:p w:rsidR="00274D00" w:rsidRPr="00D65D57" w:rsidRDefault="00274D00" w:rsidP="00274D00">
            <w:pPr>
              <w:numPr>
                <w:ilvl w:val="0"/>
                <w:numId w:val="7"/>
              </w:numPr>
              <w:spacing w:after="0" w:line="360" w:lineRule="auto"/>
              <w:ind w:left="143" w:hanging="143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Done in Jamaica, Guyana, Bahamas, Trinidad and Tobago, St. Lucia, Cayman Islands (</w:t>
            </w:r>
            <w:r w:rsidRPr="00D65D57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val="en-US"/>
              </w:rPr>
              <w:t>others?)</w:t>
            </w:r>
          </w:p>
        </w:tc>
      </w:tr>
      <w:tr w:rsidR="00274D00" w:rsidRPr="002C16EB" w:rsidTr="00D65D57">
        <w:tc>
          <w:tcPr>
            <w:tcW w:w="6120" w:type="dxa"/>
            <w:gridSpan w:val="3"/>
            <w:shd w:val="clear" w:color="auto" w:fill="auto"/>
          </w:tcPr>
          <w:p w:rsidR="00274D00" w:rsidRPr="00D65D57" w:rsidRDefault="00274D00" w:rsidP="00274D00">
            <w:pPr>
              <w:numPr>
                <w:ilvl w:val="0"/>
                <w:numId w:val="8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Establish Caribbean Freedom of Information Network </w:t>
            </w:r>
          </w:p>
        </w:tc>
        <w:tc>
          <w:tcPr>
            <w:tcW w:w="7436" w:type="dxa"/>
            <w:gridSpan w:val="2"/>
            <w:shd w:val="clear" w:color="auto" w:fill="auto"/>
          </w:tcPr>
          <w:p w:rsidR="00274D00" w:rsidRPr="00D65D57" w:rsidRDefault="00274D00" w:rsidP="00274D00">
            <w:pPr>
              <w:numPr>
                <w:ilvl w:val="0"/>
                <w:numId w:val="8"/>
              </w:numPr>
              <w:spacing w:after="0" w:line="360" w:lineRule="auto"/>
              <w:ind w:left="143" w:hanging="143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Done – Hosted by Jamaica Environment Trust with technical support of Environmental Law Alliance Worldwide (Email address for network - </w:t>
            </w:r>
            <w:hyperlink r:id="rId8" w:history="1">
              <w:r w:rsidRPr="00D65D57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  <w:lang w:val="en-US"/>
                </w:rPr>
                <w:t>cfoin@lists.elaw.org</w:t>
              </w:r>
            </w:hyperlink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)</w:t>
            </w:r>
          </w:p>
        </w:tc>
      </w:tr>
      <w:tr w:rsidR="00274D00" w:rsidRPr="002C16EB" w:rsidTr="00D65D57">
        <w:tc>
          <w:tcPr>
            <w:tcW w:w="6120" w:type="dxa"/>
            <w:gridSpan w:val="3"/>
            <w:shd w:val="clear" w:color="auto" w:fill="auto"/>
          </w:tcPr>
          <w:p w:rsidR="00274D00" w:rsidRPr="00D65D57" w:rsidRDefault="00274D00" w:rsidP="00274D00">
            <w:pPr>
              <w:numPr>
                <w:ilvl w:val="0"/>
                <w:numId w:val="9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Capture case studies of </w:t>
            </w:r>
            <w:proofErr w:type="spellStart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FOI</w:t>
            </w:r>
            <w:proofErr w:type="spellEnd"/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use and implementation</w:t>
            </w:r>
          </w:p>
        </w:tc>
        <w:tc>
          <w:tcPr>
            <w:tcW w:w="7436" w:type="dxa"/>
            <w:gridSpan w:val="2"/>
            <w:shd w:val="clear" w:color="auto" w:fill="auto"/>
          </w:tcPr>
          <w:p w:rsidR="00274D00" w:rsidRPr="00D65D57" w:rsidRDefault="00274D00" w:rsidP="002C16E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</w:tc>
      </w:tr>
      <w:tr w:rsidR="00274D00" w:rsidRPr="002C16EB" w:rsidTr="00D65D57">
        <w:tc>
          <w:tcPr>
            <w:tcW w:w="6120" w:type="dxa"/>
            <w:gridSpan w:val="3"/>
            <w:shd w:val="clear" w:color="auto" w:fill="auto"/>
          </w:tcPr>
          <w:p w:rsidR="00274D00" w:rsidRPr="00D65D57" w:rsidRDefault="00274D00" w:rsidP="00274D00">
            <w:pPr>
              <w:numPr>
                <w:ilvl w:val="0"/>
                <w:numId w:val="10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Build broad coalition, including trade unions and business organizations</w:t>
            </w:r>
          </w:p>
          <w:p w:rsidR="00274D00" w:rsidRPr="00D65D57" w:rsidRDefault="00274D00" w:rsidP="00274D00">
            <w:pPr>
              <w:numPr>
                <w:ilvl w:val="0"/>
                <w:numId w:val="10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Conduct letter-writing campaign</w:t>
            </w:r>
          </w:p>
          <w:p w:rsidR="00274D00" w:rsidRPr="00D65D57" w:rsidRDefault="00274D00" w:rsidP="00274D00">
            <w:pPr>
              <w:numPr>
                <w:ilvl w:val="0"/>
                <w:numId w:val="10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Increase public awareness</w:t>
            </w:r>
          </w:p>
          <w:p w:rsidR="00274D00" w:rsidRPr="00D65D57" w:rsidRDefault="00274D00" w:rsidP="00274D00">
            <w:pPr>
              <w:numPr>
                <w:ilvl w:val="0"/>
                <w:numId w:val="10"/>
              </w:numPr>
              <w:spacing w:after="0" w:line="360" w:lineRule="auto"/>
              <w:ind w:left="162" w:hanging="162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65D57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Network with others in the region</w:t>
            </w:r>
          </w:p>
        </w:tc>
        <w:tc>
          <w:tcPr>
            <w:tcW w:w="7436" w:type="dxa"/>
            <w:gridSpan w:val="2"/>
            <w:shd w:val="clear" w:color="auto" w:fill="auto"/>
          </w:tcPr>
          <w:p w:rsidR="00274D00" w:rsidRPr="00D65D57" w:rsidRDefault="00274D00" w:rsidP="002C16EB">
            <w:pPr>
              <w:spacing w:after="0" w:line="360" w:lineRule="auto"/>
              <w:ind w:left="36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</w:tr>
    </w:tbl>
    <w:p w:rsidR="002C16EB" w:rsidRDefault="002C16EB" w:rsidP="002C16EB">
      <w:pPr>
        <w:jc w:val="both"/>
      </w:pPr>
    </w:p>
    <w:p w:rsidR="00D65D57" w:rsidRPr="00D65D57" w:rsidRDefault="00D65D57" w:rsidP="002C16EB">
      <w:pPr>
        <w:jc w:val="both"/>
        <w:rPr>
          <w:b/>
        </w:rPr>
      </w:pPr>
      <w:r w:rsidRPr="00D65D57">
        <w:rPr>
          <w:b/>
        </w:rPr>
        <w:t>Updated: May 5, 2013</w:t>
      </w:r>
    </w:p>
    <w:sectPr w:rsidR="00D65D57" w:rsidRPr="00D65D57" w:rsidSect="00665C57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24" w:rsidRDefault="00AF4024" w:rsidP="00D65D57">
      <w:pPr>
        <w:spacing w:after="0" w:line="240" w:lineRule="auto"/>
      </w:pPr>
      <w:r>
        <w:separator/>
      </w:r>
    </w:p>
  </w:endnote>
  <w:endnote w:type="continuationSeparator" w:id="0">
    <w:p w:rsidR="00AF4024" w:rsidRDefault="00AF4024" w:rsidP="00D6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471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5D57" w:rsidRDefault="00D65D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1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5D57" w:rsidRDefault="00D65D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24" w:rsidRDefault="00AF4024" w:rsidP="00D65D57">
      <w:pPr>
        <w:spacing w:after="0" w:line="240" w:lineRule="auto"/>
      </w:pPr>
      <w:r>
        <w:separator/>
      </w:r>
    </w:p>
  </w:footnote>
  <w:footnote w:type="continuationSeparator" w:id="0">
    <w:p w:rsidR="00AF4024" w:rsidRDefault="00AF4024" w:rsidP="00D65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0EA6"/>
    <w:multiLevelType w:val="hybridMultilevel"/>
    <w:tmpl w:val="3D043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E71E90"/>
    <w:multiLevelType w:val="hybridMultilevel"/>
    <w:tmpl w:val="27323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1A467E"/>
    <w:multiLevelType w:val="hybridMultilevel"/>
    <w:tmpl w:val="0B76E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A6563C"/>
    <w:multiLevelType w:val="hybridMultilevel"/>
    <w:tmpl w:val="BC58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538E7"/>
    <w:multiLevelType w:val="hybridMultilevel"/>
    <w:tmpl w:val="2C18D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B21D47"/>
    <w:multiLevelType w:val="hybridMultilevel"/>
    <w:tmpl w:val="707A8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31401F"/>
    <w:multiLevelType w:val="hybridMultilevel"/>
    <w:tmpl w:val="F0A22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2D59B9"/>
    <w:multiLevelType w:val="hybridMultilevel"/>
    <w:tmpl w:val="65608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4A5F7F"/>
    <w:multiLevelType w:val="hybridMultilevel"/>
    <w:tmpl w:val="7548B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D9413B5"/>
    <w:multiLevelType w:val="hybridMultilevel"/>
    <w:tmpl w:val="3530C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171D62"/>
    <w:multiLevelType w:val="hybridMultilevel"/>
    <w:tmpl w:val="02500F30"/>
    <w:lvl w:ilvl="0" w:tplc="E814C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C4BCC"/>
    <w:multiLevelType w:val="hybridMultilevel"/>
    <w:tmpl w:val="5F329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1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EB"/>
    <w:rsid w:val="000C3A53"/>
    <w:rsid w:val="0011171C"/>
    <w:rsid w:val="00274D00"/>
    <w:rsid w:val="002C16EB"/>
    <w:rsid w:val="00327AED"/>
    <w:rsid w:val="003A5602"/>
    <w:rsid w:val="00665C57"/>
    <w:rsid w:val="008A4786"/>
    <w:rsid w:val="00AF4024"/>
    <w:rsid w:val="00B25376"/>
    <w:rsid w:val="00CC17AF"/>
    <w:rsid w:val="00D65D57"/>
    <w:rsid w:val="00E2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J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D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D57"/>
    <w:rPr>
      <w:lang w:val="en-JM"/>
    </w:rPr>
  </w:style>
  <w:style w:type="paragraph" w:styleId="Footer">
    <w:name w:val="footer"/>
    <w:basedOn w:val="Normal"/>
    <w:link w:val="FooterChar"/>
    <w:uiPriority w:val="99"/>
    <w:unhideWhenUsed/>
    <w:rsid w:val="00D65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D57"/>
    <w:rPr>
      <w:lang w:val="en-J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J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D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D57"/>
    <w:rPr>
      <w:lang w:val="en-JM"/>
    </w:rPr>
  </w:style>
  <w:style w:type="paragraph" w:styleId="Footer">
    <w:name w:val="footer"/>
    <w:basedOn w:val="Normal"/>
    <w:link w:val="FooterChar"/>
    <w:uiPriority w:val="99"/>
    <w:unhideWhenUsed/>
    <w:rsid w:val="00D65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D57"/>
    <w:rPr>
      <w:lang w:val="en-J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oin@lists.elaw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ELAW</dc:creator>
  <cp:lastModifiedBy>ELAW</cp:lastModifiedBy>
  <cp:revision>3</cp:revision>
  <dcterms:created xsi:type="dcterms:W3CDTF">2013-05-07T13:51:00Z</dcterms:created>
  <dcterms:modified xsi:type="dcterms:W3CDTF">2013-05-09T20:27:00Z</dcterms:modified>
</cp:coreProperties>
</file>